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D5" w:rsidRPr="00DB5CD5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32"/>
          <w:szCs w:val="32"/>
        </w:rPr>
      </w:pPr>
      <w:r>
        <w:rPr>
          <w:rStyle w:val="FontStyle11"/>
          <w:sz w:val="20"/>
          <w:szCs w:val="20"/>
        </w:rPr>
        <w:t xml:space="preserve">           </w:t>
      </w:r>
      <w:r w:rsidRPr="00DB5CD5">
        <w:rPr>
          <w:rStyle w:val="FontStyle11"/>
          <w:sz w:val="32"/>
          <w:szCs w:val="32"/>
        </w:rPr>
        <w:t>УКАЗ ПРЕЗИДЕНТА РЕСПУБЛИКИ  БЕЛАРУСЬ №240</w:t>
      </w:r>
    </w:p>
    <w:p w:rsidR="00DB5CD5" w:rsidRPr="00DB5CD5" w:rsidRDefault="00DB5CD5" w:rsidP="00DB5CD5">
      <w:pPr>
        <w:pStyle w:val="Style5"/>
        <w:widowControl/>
        <w:tabs>
          <w:tab w:val="left" w:pos="1171"/>
        </w:tabs>
        <w:spacing w:before="5"/>
        <w:jc w:val="center"/>
        <w:rPr>
          <w:rStyle w:val="FontStyle11"/>
          <w:sz w:val="32"/>
          <w:szCs w:val="32"/>
        </w:rPr>
      </w:pPr>
      <w:r w:rsidRPr="00DB5CD5">
        <w:rPr>
          <w:rStyle w:val="FontStyle11"/>
          <w:sz w:val="32"/>
          <w:szCs w:val="32"/>
        </w:rPr>
        <w:t xml:space="preserve">     об осуществлении общественного контроля</w:t>
      </w:r>
    </w:p>
    <w:p w:rsidR="00DB5CD5" w:rsidRDefault="00DB5CD5" w:rsidP="0001280F">
      <w:pPr>
        <w:pStyle w:val="Style5"/>
        <w:widowControl/>
        <w:tabs>
          <w:tab w:val="left" w:pos="1171"/>
        </w:tabs>
        <w:spacing w:before="5"/>
        <w:jc w:val="center"/>
        <w:rPr>
          <w:rStyle w:val="FontStyle11"/>
          <w:sz w:val="32"/>
          <w:szCs w:val="32"/>
        </w:rPr>
      </w:pPr>
      <w:r w:rsidRPr="00DB5CD5">
        <w:rPr>
          <w:rStyle w:val="FontStyle11"/>
          <w:sz w:val="32"/>
          <w:szCs w:val="32"/>
        </w:rPr>
        <w:t xml:space="preserve">    профессиональными  союзами</w:t>
      </w:r>
    </w:p>
    <w:p w:rsidR="0001280F" w:rsidRPr="0001280F" w:rsidRDefault="0001280F" w:rsidP="0001280F">
      <w:pPr>
        <w:pStyle w:val="Style5"/>
        <w:widowControl/>
        <w:tabs>
          <w:tab w:val="left" w:pos="1171"/>
        </w:tabs>
        <w:spacing w:before="5"/>
        <w:jc w:val="center"/>
        <w:rPr>
          <w:rStyle w:val="FontStyle11"/>
          <w:sz w:val="32"/>
          <w:szCs w:val="32"/>
        </w:rPr>
      </w:pP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В целях совершенствования правового регулирования отношений в сфере осуществления  общественного контроля профессиональными союзами, их организационными структурами, объединениями таких союзов и их организационными структурами, а также защиты трудовых и социально- экономических прав граждан: </w:t>
      </w:r>
    </w:p>
    <w:p w:rsidR="00DB5CD5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5335FD">
        <w:rPr>
          <w:rStyle w:val="FontStyle11"/>
          <w:sz w:val="20"/>
          <w:szCs w:val="20"/>
        </w:rPr>
        <w:t xml:space="preserve">   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5335FD">
        <w:rPr>
          <w:rStyle w:val="FontStyle11"/>
          <w:sz w:val="20"/>
          <w:szCs w:val="20"/>
        </w:rPr>
        <w:t xml:space="preserve"> 1. Установить, что: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1.1 профессиональные союзы, их организационные структуры, объединения таких союзов и их организационные структуры (далее профсоюзы) вправе осуществлять общественный контроль в случаях, установленных законодательными актами;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1.2  общественный контроль осуществляется профсоюзами: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1.2.1 в соответствии с принципами: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Социального партнерства между профсоюзами, государственными органами и иными организациями;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Законности при осуществлении общественного контроля и ответственности профсоюзов, их представителей за нарушение законодательства при его осуществлении;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1.4 первичные профсоюзные организации независимо от наличия у них статуса юридического лица (далее – первичные профсоюзные организации) осуществляют общественный контроль только в отношении контролируемых субъектов, в которых они созданы, в формах, не связанных с проведением проверок;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1.5. по результатам осуществления общественного контроля в формах, не связанных с проведением проверок, профсоюз в праве в установленном республиканскими объединениями профсоюзов порядке выдать контролируемому субъекту рекомендацию по устранению установленных нарушений </w:t>
      </w:r>
      <w:proofErr w:type="gramStart"/>
      <w:r w:rsidRPr="005335FD">
        <w:rPr>
          <w:rStyle w:val="FontStyle11"/>
          <w:b w:val="0"/>
          <w:sz w:val="20"/>
          <w:szCs w:val="20"/>
        </w:rPr>
        <w:t>в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 </w:t>
      </w:r>
      <w:proofErr w:type="gramStart"/>
      <w:r w:rsidRPr="005335FD">
        <w:rPr>
          <w:rStyle w:val="FontStyle11"/>
          <w:b w:val="0"/>
          <w:sz w:val="20"/>
          <w:szCs w:val="20"/>
        </w:rPr>
        <w:t>актов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 законодательства, коллективного договора (соглашения), если иное не установлено настоящим Указом.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Контролируемый субъект обязан рассмотреть данную рекомендацию и информировать профсоюз о результатах ее рассмотрения в  установленный в ней срок.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Профсоюзы за исключением первичных профсоюзных организаций. Вправе осуществлять общественный контроль в форме проведения проверок </w:t>
      </w:r>
      <w:proofErr w:type="gramStart"/>
      <w:r w:rsidRPr="005335FD">
        <w:rPr>
          <w:rStyle w:val="FontStyle11"/>
          <w:b w:val="0"/>
          <w:sz w:val="20"/>
          <w:szCs w:val="20"/>
        </w:rPr>
        <w:t>за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: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соблюдением законодательства о труде;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соблюдением законодательства  об охране руда;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соблюдением законодательства о профсоюзах;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выполнением коллективного договора (соглашения)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Профсоюз вправе назначать плановые проверки в отношении контролируемых субъектов по мере необходимости, но не чаще одного раза в два года.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Не допускается: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Проведение профсоюзами  нескольких плановых проверок одного и того же  контролируемого субъекта в течени</w:t>
      </w:r>
      <w:proofErr w:type="gramStart"/>
      <w:r w:rsidRPr="005335FD">
        <w:rPr>
          <w:rStyle w:val="FontStyle11"/>
          <w:b w:val="0"/>
          <w:sz w:val="20"/>
          <w:szCs w:val="20"/>
        </w:rPr>
        <w:t>и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 календарного года; 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Проверка профсоюзом контролируемого субъекта по одному и тому же вопросу за один и тот же период совместно с другим </w:t>
      </w:r>
      <w:proofErr w:type="gramStart"/>
      <w:r w:rsidRPr="005335FD">
        <w:rPr>
          <w:rStyle w:val="FontStyle11"/>
          <w:b w:val="0"/>
          <w:sz w:val="20"/>
          <w:szCs w:val="20"/>
        </w:rPr>
        <w:t>профсоюзом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 в том числе в ходе совместной проверки.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sz w:val="20"/>
          <w:szCs w:val="20"/>
        </w:rPr>
        <w:t>10</w:t>
      </w:r>
      <w:r w:rsidRPr="005335FD">
        <w:rPr>
          <w:rStyle w:val="FontStyle11"/>
          <w:b w:val="0"/>
          <w:sz w:val="20"/>
          <w:szCs w:val="20"/>
        </w:rPr>
        <w:t xml:space="preserve">. Проверка контролируемого субъекта проводится за период. </w:t>
      </w:r>
      <w:proofErr w:type="gramStart"/>
      <w:r w:rsidRPr="005335FD">
        <w:rPr>
          <w:rStyle w:val="FontStyle11"/>
          <w:b w:val="0"/>
          <w:sz w:val="20"/>
          <w:szCs w:val="20"/>
        </w:rPr>
        <w:t>Не превышающий трех календарных лет, предшествующих году, в котором в установленном порядке принято решение о назначении проверки, а также за истекший период текущего календарного года.</w:t>
      </w:r>
      <w:proofErr w:type="gramEnd"/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Период, за который проводится проверка, не ограничивается в случае обращения физического лиц</w:t>
      </w:r>
      <w:proofErr w:type="gramStart"/>
      <w:r w:rsidRPr="005335FD">
        <w:rPr>
          <w:rStyle w:val="FontStyle11"/>
          <w:b w:val="0"/>
          <w:sz w:val="20"/>
          <w:szCs w:val="20"/>
        </w:rPr>
        <w:t>а-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 члена профсоюза при его несогласии с результатами расследования несчастного случая на производстве или профессионального заболевания.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sz w:val="20"/>
          <w:szCs w:val="20"/>
        </w:rPr>
        <w:t>13</w:t>
      </w:r>
      <w:r w:rsidRPr="005335FD">
        <w:rPr>
          <w:rStyle w:val="FontStyle11"/>
          <w:b w:val="0"/>
          <w:sz w:val="20"/>
          <w:szCs w:val="20"/>
        </w:rPr>
        <w:t xml:space="preserve">. Проверяющий обязан  до проведения проверки внести сведения о ее проведении в книгу учета проверок </w:t>
      </w:r>
      <w:proofErr w:type="gramStart"/>
      <w:r w:rsidRPr="005335FD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5335FD">
        <w:rPr>
          <w:rStyle w:val="FontStyle11"/>
          <w:b w:val="0"/>
          <w:sz w:val="20"/>
          <w:szCs w:val="20"/>
        </w:rPr>
        <w:t>при представлении данной книги)</w:t>
      </w:r>
    </w:p>
    <w:p w:rsidR="00DB5CD5" w:rsidRPr="005335FD" w:rsidRDefault="00DB5CD5" w:rsidP="00DB5CD5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proofErr w:type="gramStart"/>
      <w:r w:rsidRPr="005335FD">
        <w:rPr>
          <w:rStyle w:val="FontStyle11"/>
          <w:b w:val="0"/>
          <w:sz w:val="20"/>
          <w:szCs w:val="20"/>
        </w:rPr>
        <w:t>В случае непредставления (отсутствия) книги учета проверок информация об этом указывается в представлении (справке), выдаваемом проверяющим по результатам проверки.</w:t>
      </w:r>
      <w:proofErr w:type="gramEnd"/>
    </w:p>
    <w:p w:rsidR="00DB5CD5" w:rsidRDefault="00DB5CD5" w:rsidP="00DB5CD5">
      <w:pPr>
        <w:pStyle w:val="Style5"/>
        <w:widowControl/>
        <w:pBdr>
          <w:bottom w:val="single" w:sz="12" w:space="1" w:color="auto"/>
        </w:pBdr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sz w:val="20"/>
          <w:szCs w:val="20"/>
        </w:rPr>
        <w:t xml:space="preserve"> 14</w:t>
      </w:r>
      <w:r w:rsidRPr="005335FD">
        <w:rPr>
          <w:rStyle w:val="FontStyle11"/>
          <w:b w:val="0"/>
          <w:sz w:val="20"/>
          <w:szCs w:val="20"/>
        </w:rPr>
        <w:t xml:space="preserve">. Невнесение проверяющим записи о проведении проверки  в книгу учета проверок (при предоставлении данной книги), нарушение этим лицом либо должностным лицом профсоюза, назначившим проведение проверки, установленного порядка назначения проверки </w:t>
      </w:r>
      <w:proofErr w:type="gramStart"/>
      <w:r w:rsidRPr="005335FD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5335FD">
        <w:rPr>
          <w:rStyle w:val="FontStyle11"/>
          <w:b w:val="0"/>
          <w:sz w:val="20"/>
          <w:szCs w:val="20"/>
        </w:rPr>
        <w:t xml:space="preserve">в том числе ее необоснованное назначение) являются основаниями для признания проверки незаконной. </w:t>
      </w:r>
    </w:p>
    <w:p w:rsidR="00DB5CD5" w:rsidRDefault="00DB5CD5" w:rsidP="00DB5CD5">
      <w:pPr>
        <w:pStyle w:val="Style5"/>
        <w:widowControl/>
        <w:pBdr>
          <w:bottom w:val="single" w:sz="12" w:space="1" w:color="auto"/>
        </w:pBdr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</w:p>
    <w:p w:rsidR="00DB5CD5" w:rsidRDefault="00DB5CD5" w:rsidP="00DB5CD5">
      <w:pPr>
        <w:pStyle w:val="Style5"/>
        <w:widowControl/>
        <w:tabs>
          <w:tab w:val="left" w:pos="1171"/>
        </w:tabs>
        <w:spacing w:before="5"/>
        <w:ind w:left="360"/>
        <w:jc w:val="both"/>
        <w:rPr>
          <w:sz w:val="20"/>
          <w:szCs w:val="20"/>
        </w:rPr>
      </w:pPr>
    </w:p>
    <w:p w:rsidR="00DB5CD5" w:rsidRDefault="00DB5CD5" w:rsidP="00DB5CD5">
      <w:pPr>
        <w:pStyle w:val="Style5"/>
        <w:widowControl/>
        <w:tabs>
          <w:tab w:val="left" w:pos="1171"/>
        </w:tabs>
        <w:spacing w:before="5"/>
        <w:ind w:left="360"/>
        <w:jc w:val="both"/>
        <w:rPr>
          <w:rStyle w:val="FontStyle11"/>
          <w:b w:val="0"/>
          <w:sz w:val="18"/>
          <w:szCs w:val="18"/>
        </w:rPr>
      </w:pPr>
      <w:r w:rsidRPr="005335FD">
        <w:rPr>
          <w:rStyle w:val="a3"/>
          <w:sz w:val="20"/>
          <w:szCs w:val="20"/>
        </w:rPr>
        <w:sym w:font="Symbol" w:char="F02A"/>
      </w:r>
      <w:r w:rsidRPr="005335FD">
        <w:rPr>
          <w:sz w:val="20"/>
          <w:szCs w:val="20"/>
        </w:rPr>
        <w:t xml:space="preserve"> </w:t>
      </w:r>
      <w:r w:rsidRPr="0093071B">
        <w:rPr>
          <w:rStyle w:val="FontStyle11"/>
          <w:b w:val="0"/>
          <w:sz w:val="18"/>
          <w:szCs w:val="18"/>
        </w:rPr>
        <w:t xml:space="preserve">Для целей настоящего Указа под проверкой понимается совокупность мероприятий, </w:t>
      </w:r>
    </w:p>
    <w:p w:rsidR="00DB5CD5" w:rsidRDefault="00DB5CD5" w:rsidP="00DB5CD5">
      <w:pPr>
        <w:pStyle w:val="Style5"/>
        <w:widowControl/>
        <w:tabs>
          <w:tab w:val="left" w:pos="1171"/>
        </w:tabs>
        <w:spacing w:before="5"/>
        <w:ind w:left="360"/>
        <w:jc w:val="both"/>
        <w:rPr>
          <w:rStyle w:val="FontStyle24"/>
          <w:sz w:val="20"/>
          <w:szCs w:val="20"/>
        </w:rPr>
      </w:pPr>
      <w:r w:rsidRPr="0093071B">
        <w:rPr>
          <w:rStyle w:val="FontStyle11"/>
          <w:b w:val="0"/>
          <w:sz w:val="18"/>
          <w:szCs w:val="18"/>
        </w:rPr>
        <w:t>проводимых профсоюзами в отношении контролируемых субъектов, по итогам которых оценивается соответствие требованиям законодательства, коллективного договора (соглашения) осуществляемой контролируемыми субъектами деятельности по обеспечению трудовых и социально – экономических прав граждан, действий (бездействия) должностных лиц и иных работников контролируемых субъектов.</w:t>
      </w:r>
      <w:r w:rsidRPr="005335FD">
        <w:rPr>
          <w:rStyle w:val="FontStyle24"/>
          <w:sz w:val="20"/>
          <w:szCs w:val="20"/>
        </w:rPr>
        <w:t xml:space="preserve">  </w:t>
      </w:r>
      <w:r>
        <w:rPr>
          <w:rStyle w:val="FontStyle24"/>
          <w:sz w:val="20"/>
          <w:szCs w:val="20"/>
        </w:rPr>
        <w:t xml:space="preserve">      </w:t>
      </w:r>
    </w:p>
    <w:p w:rsidR="00DB5CD5" w:rsidRDefault="00DB5CD5" w:rsidP="00DB5CD5">
      <w:pPr>
        <w:pStyle w:val="Style5"/>
        <w:widowControl/>
        <w:spacing w:before="72"/>
        <w:ind w:left="2832"/>
        <w:rPr>
          <w:rStyle w:val="FontStyle24"/>
          <w:sz w:val="20"/>
          <w:szCs w:val="20"/>
        </w:rPr>
      </w:pPr>
    </w:p>
    <w:p w:rsidR="00682DA4" w:rsidRDefault="00682DA4"/>
    <w:sectPr w:rsidR="00682DA4" w:rsidSect="00DD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B5CD5"/>
    <w:rsid w:val="0001280F"/>
    <w:rsid w:val="00682DA4"/>
    <w:rsid w:val="00DB5CD5"/>
    <w:rsid w:val="00DD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B5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B5CD5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24">
    <w:name w:val="Font Style24"/>
    <w:basedOn w:val="a0"/>
    <w:rsid w:val="00DB5CD5"/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nhideWhenUsed/>
    <w:rsid w:val="00DB5C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2012-12-03T07:05:00Z</dcterms:created>
  <dcterms:modified xsi:type="dcterms:W3CDTF">2012-12-03T09:29:00Z</dcterms:modified>
</cp:coreProperties>
</file>